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07" w:rsidRPr="00DC6633" w:rsidRDefault="006C3007" w:rsidP="006C3007">
      <w:pPr>
        <w:spacing w:before="100" w:beforeAutospacing="1" w:after="100" w:afterAutospacing="1" w:line="240" w:lineRule="auto"/>
        <w:jc w:val="center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b/>
          <w:bCs/>
          <w:iCs/>
          <w:sz w:val="24"/>
          <w:szCs w:val="24"/>
          <w:lang w:eastAsia="hu-HU"/>
        </w:rPr>
        <w:t>ETIKAI KÓDEX</w:t>
      </w:r>
    </w:p>
    <w:p w:rsidR="006C3007" w:rsidRPr="00DC6633" w:rsidRDefault="005B3E82" w:rsidP="006C3007">
      <w:pPr>
        <w:spacing w:before="100" w:beforeAutospacing="1" w:after="100" w:afterAutospacing="1" w:line="240" w:lineRule="auto"/>
        <w:jc w:val="center"/>
        <w:rPr>
          <w:rFonts w:ascii="MetaBookCE" w:eastAsia="Times New Roman" w:hAnsi="MetaBookCE" w:cs="Times New Roman"/>
          <w:sz w:val="28"/>
          <w:szCs w:val="28"/>
          <w:lang w:eastAsia="hu-HU"/>
        </w:rPr>
      </w:pPr>
      <w:r w:rsidRPr="00DC6633">
        <w:rPr>
          <w:rFonts w:ascii="MetaBookCE" w:eastAsia="Times New Roman" w:hAnsi="MetaBookCE" w:cs="Times New Roman"/>
          <w:b/>
          <w:bCs/>
          <w:sz w:val="28"/>
          <w:szCs w:val="28"/>
          <w:lang w:eastAsia="hu-HU"/>
        </w:rPr>
        <w:t xml:space="preserve">A Magyar </w:t>
      </w:r>
      <w:r w:rsidR="00F51426" w:rsidRPr="00DC6633">
        <w:rPr>
          <w:rFonts w:ascii="MetaBookCE" w:eastAsia="Times New Roman" w:hAnsi="MetaBookCE" w:cs="Times New Roman"/>
          <w:b/>
          <w:bCs/>
          <w:sz w:val="28"/>
          <w:szCs w:val="28"/>
          <w:lang w:eastAsia="hu-HU"/>
        </w:rPr>
        <w:t xml:space="preserve">Értékes Hulladék Hasznosítók </w:t>
      </w:r>
      <w:r w:rsidRPr="00DC6633">
        <w:rPr>
          <w:rFonts w:ascii="MetaBookCE" w:eastAsia="Times New Roman" w:hAnsi="MetaBookCE" w:cs="Times New Roman"/>
          <w:b/>
          <w:bCs/>
          <w:sz w:val="28"/>
          <w:szCs w:val="28"/>
          <w:lang w:eastAsia="hu-HU"/>
        </w:rPr>
        <w:t>Közhasznú Egyesülete</w:t>
      </w:r>
      <w:r w:rsidR="006C3007" w:rsidRPr="00DC6633">
        <w:rPr>
          <w:rFonts w:ascii="MetaBookCE" w:eastAsia="Times New Roman" w:hAnsi="MetaBookCE" w:cs="Times New Roman"/>
          <w:b/>
          <w:bCs/>
          <w:sz w:val="28"/>
          <w:szCs w:val="28"/>
          <w:lang w:eastAsia="hu-HU"/>
        </w:rPr>
        <w:t xml:space="preserve"> tagjai részére</w:t>
      </w:r>
    </w:p>
    <w:p w:rsidR="006C3007" w:rsidRPr="00DC6633" w:rsidRDefault="006C3007" w:rsidP="006C3007">
      <w:pPr>
        <w:spacing w:before="100" w:beforeAutospacing="1" w:after="100" w:afterAutospacing="1" w:line="240" w:lineRule="auto"/>
        <w:jc w:val="center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b/>
          <w:bCs/>
          <w:sz w:val="24"/>
          <w:szCs w:val="24"/>
          <w:lang w:eastAsia="hu-HU"/>
        </w:rPr>
        <w:t>I.</w:t>
      </w:r>
    </w:p>
    <w:p w:rsidR="006C3007" w:rsidRPr="00DC6633" w:rsidRDefault="006C3007" w:rsidP="006C3007">
      <w:pPr>
        <w:spacing w:before="100" w:beforeAutospacing="1" w:after="100" w:afterAutospacing="1" w:line="240" w:lineRule="auto"/>
        <w:jc w:val="center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b/>
          <w:bCs/>
          <w:sz w:val="24"/>
          <w:szCs w:val="24"/>
          <w:lang w:eastAsia="hu-HU"/>
        </w:rPr>
        <w:t>Az ETIKAI KÓDEX célja</w:t>
      </w:r>
    </w:p>
    <w:p w:rsidR="006C3007" w:rsidRPr="00DC6633" w:rsidRDefault="006C3007" w:rsidP="006C3007">
      <w:p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A </w:t>
      </w:r>
      <w:r w:rsidR="00F51426" w:rsidRPr="00DC6633">
        <w:rPr>
          <w:rFonts w:ascii="MetaBookCE" w:eastAsia="Times New Roman" w:hAnsi="MetaBookCE" w:cs="Times New Roman"/>
          <w:bCs/>
          <w:sz w:val="24"/>
          <w:szCs w:val="24"/>
          <w:lang w:eastAsia="hu-HU"/>
        </w:rPr>
        <w:t>Magyar Értékes Hulladék Hasznosítók Közhasznú Egyesülete</w:t>
      </w:r>
      <w:r w:rsidR="00F51426" w:rsidRPr="00DC6633">
        <w:rPr>
          <w:rFonts w:ascii="MetaBookCE" w:eastAsia="Times New Roman" w:hAnsi="MetaBookCE" w:cs="Times New Roman"/>
          <w:b/>
          <w:bCs/>
          <w:sz w:val="24"/>
          <w:szCs w:val="24"/>
          <w:lang w:eastAsia="hu-HU"/>
        </w:rPr>
        <w:t xml:space="preserve"> </w:t>
      </w: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>önkéntes tagságon alapuló, közérdekű célok érdekében tevékenykedő, országos jellegű társadalmi szervezet, mely céljait, működésének és szervezetének alapvető szabályait Alapszabályában rögzítette.</w:t>
      </w:r>
    </w:p>
    <w:p w:rsidR="006C3007" w:rsidRPr="00DC6633" w:rsidRDefault="006C3007" w:rsidP="006C3007">
      <w:p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Az ETIKAI KÓDEX megalkotásának és elfogadásának célja, hogy az egyesület tagjainak segítséget nyújtson az egyesületi munkában való részvételhez, ezen belül is az egyesület környezetvédelemmel, hulladék-gazdálkodással és hasznosítással összefüggő előnyös és kívánatos társadalmi szemlélet és társadalmi környezet formálásában. </w:t>
      </w:r>
    </w:p>
    <w:p w:rsidR="006C3007" w:rsidRPr="00DC6633" w:rsidRDefault="006C3007" w:rsidP="006C3007">
      <w:p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Az ETIKAI KÓDEX a tagjai számára olyan magatartási mintákat ad és olyan elvárásokat fogalmaz meg, melyek a tagok önkéntes belátásán és követésén, s nem kényszerítő erőn alapulnak. </w:t>
      </w:r>
    </w:p>
    <w:p w:rsidR="006C3007" w:rsidRPr="00DC6633" w:rsidRDefault="006C3007" w:rsidP="006C3007">
      <w:p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Ugyanakkor az ETIKAI KÓDEX az egyesület közhasznú és nyílt jellegét kihangsúlyozva is csak azon természetes személyeket és gazdálkodó szervezeteket várja tagjai sorába, akik </w:t>
      </w:r>
      <w:proofErr w:type="gramStart"/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>ezen</w:t>
      </w:r>
      <w:proofErr w:type="gramEnd"/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 magatartási szabályokat elfogadják, alkalmazzák, továbbá egyesületi tevékenységük valamint a gazdasági és közéletben való részvételük során is ennek megfelelő magatartást tanúsítanak, és tartózkodnak a közhasznú célok megvalósítását sértő cselekvésektől, mulasztásoktól.</w:t>
      </w:r>
    </w:p>
    <w:p w:rsidR="006C3007" w:rsidRPr="00DC6633" w:rsidRDefault="006C3007" w:rsidP="006C3007">
      <w:pPr>
        <w:spacing w:before="100" w:beforeAutospacing="1" w:after="100" w:afterAutospacing="1" w:line="240" w:lineRule="auto"/>
        <w:jc w:val="center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b/>
          <w:bCs/>
          <w:sz w:val="24"/>
          <w:szCs w:val="24"/>
          <w:lang w:eastAsia="hu-HU"/>
        </w:rPr>
        <w:t>II.</w:t>
      </w:r>
    </w:p>
    <w:p w:rsidR="006C3007" w:rsidRPr="00DC6633" w:rsidRDefault="006C3007" w:rsidP="006C3007">
      <w:pPr>
        <w:spacing w:before="100" w:beforeAutospacing="1" w:after="100" w:afterAutospacing="1" w:line="240" w:lineRule="auto"/>
        <w:jc w:val="center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b/>
          <w:bCs/>
          <w:sz w:val="24"/>
          <w:szCs w:val="24"/>
          <w:lang w:eastAsia="hu-HU"/>
        </w:rPr>
        <w:t>Általános magatartási elvek</w:t>
      </w:r>
    </w:p>
    <w:p w:rsidR="006C3007" w:rsidRPr="00DC6633" w:rsidRDefault="006C3007" w:rsidP="00873788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A tag egyesületi tevékenysége során köteles az egyesület Alapszabályában meghatározott kötelezettségeit betartani az egyesületi életben, továbbá az üzleti életben és társadalmi-közéleti kapcsolataiban olyan magatartást tanúsítani, mellyel elősegíti az egyesületi célkitűzések megvalósítását, ezen belül a hulladékgazdálkodással és környezetvédelemmel kapcsolatos közmegítélés pozitív irányú változtatását. </w:t>
      </w:r>
    </w:p>
    <w:p w:rsidR="006C3007" w:rsidRPr="00DC6633" w:rsidRDefault="006C3007" w:rsidP="00DC26D4">
      <w:pPr>
        <w:spacing w:before="100" w:beforeAutospacing="1" w:after="100" w:afterAutospacing="1" w:line="240" w:lineRule="auto"/>
        <w:ind w:left="708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A tag ennek érdekében köteles fokozottan ügyelni arra, hogy jogkövető magatartást tanúsítson, lehetőség szerint határolódjon el minden olyan cselekvéstől, mely alkalmas lehet a hulladékgazdálkodás és környezetvédelem szakmai, társadalmi szerepének csökkentésére vagy elősegítheti a szakma negatív megítélésének kialakulását. </w:t>
      </w:r>
    </w:p>
    <w:p w:rsidR="006C3007" w:rsidRPr="00DC6633" w:rsidRDefault="006C3007" w:rsidP="00873788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lastRenderedPageBreak/>
        <w:t xml:space="preserve">A tag fokozottan köteles ügyelni a környezetvédelmi szabályok betartására, lehetőségei szerint köteles részt venni a korszerű eljárások, módszerek alkalmazásában, elterjesztésében, népszerűsítésében, kutatások, fejlesztések támogatásában. </w:t>
      </w:r>
    </w:p>
    <w:p w:rsidR="00DC26D4" w:rsidRPr="00DC6633" w:rsidRDefault="00DC26D4" w:rsidP="00DC26D4">
      <w:pPr>
        <w:pStyle w:val="Listaszerbekezds"/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</w:p>
    <w:p w:rsidR="00DC26D4" w:rsidRPr="00DC6633" w:rsidRDefault="006C3007" w:rsidP="00DC26D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>A tag köteles szakmai ismereteit rendszeresen bővíteni, gazdálkodó szervezetek esetében a tagok, alkalmazottak szakmai képzését, továbbképzését az anyagi lehetősége</w:t>
      </w:r>
      <w:r w:rsidR="00DC6633">
        <w:rPr>
          <w:rFonts w:ascii="MetaBookCE" w:eastAsia="Times New Roman" w:hAnsi="MetaBookCE" w:cs="Times New Roman"/>
          <w:sz w:val="24"/>
          <w:szCs w:val="24"/>
          <w:lang w:eastAsia="hu-HU"/>
        </w:rPr>
        <w:t>ine</w:t>
      </w: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k függvényében támogatni. </w:t>
      </w:r>
    </w:p>
    <w:p w:rsidR="00DC26D4" w:rsidRPr="00DC6633" w:rsidRDefault="00DC26D4" w:rsidP="00DC26D4">
      <w:pPr>
        <w:pStyle w:val="Listaszerbekezds"/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</w:p>
    <w:p w:rsidR="006C3007" w:rsidRPr="00DC6633" w:rsidRDefault="006C3007" w:rsidP="00873788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A tag az egyesületi tevékenység során megszerzett ismereteket, információkat a </w:t>
      </w:r>
      <w:r w:rsid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saját </w:t>
      </w: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tevékenysége </w:t>
      </w:r>
      <w:r w:rsidR="00DC6633">
        <w:rPr>
          <w:rFonts w:ascii="MetaBookCE" w:eastAsia="Times New Roman" w:hAnsi="MetaBookCE" w:cs="Times New Roman"/>
          <w:sz w:val="24"/>
          <w:szCs w:val="24"/>
          <w:lang w:eastAsia="hu-HU"/>
        </w:rPr>
        <w:t>fejlesztésére</w:t>
      </w: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 felhasználhatja, hasznosíthatja, azonban azokkal társadalmilag elítélhető módon, mások rovására vagy jogtalan előnyök szerzése érdekében nem élhet vissza. </w:t>
      </w:r>
    </w:p>
    <w:p w:rsidR="00DC26D4" w:rsidRPr="00DC6633" w:rsidRDefault="00DC26D4" w:rsidP="00DC26D4">
      <w:pPr>
        <w:pStyle w:val="Listaszerbekezds"/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</w:p>
    <w:p w:rsidR="00DC26D4" w:rsidRPr="00DC6633" w:rsidRDefault="006C3007" w:rsidP="00DC26D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A tag más egyesületi tagokkal akár az egyesületen belül, akár azon kívül közösen szervezett akciók, programok stb. során köteles tiszteletben tartani mások önállóságát, vélemény–nyilvánítási szabadságát. </w:t>
      </w:r>
    </w:p>
    <w:p w:rsidR="00DC26D4" w:rsidRPr="00DC6633" w:rsidRDefault="00DC26D4" w:rsidP="00DC26D4">
      <w:pPr>
        <w:pStyle w:val="Listaszerbekezds"/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</w:p>
    <w:p w:rsidR="006C3007" w:rsidRPr="00DC6633" w:rsidRDefault="006C3007" w:rsidP="00873788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A tag a megfelelő más szakmai, társadalmi fórumokon utalhat egyesületi tagságára. </w:t>
      </w:r>
    </w:p>
    <w:p w:rsidR="006C3007" w:rsidRPr="00DC6633" w:rsidRDefault="006C3007" w:rsidP="006C3007">
      <w:pPr>
        <w:spacing w:before="100" w:beforeAutospacing="1" w:after="100" w:afterAutospacing="1" w:line="240" w:lineRule="auto"/>
        <w:jc w:val="center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b/>
          <w:bCs/>
          <w:sz w:val="24"/>
          <w:szCs w:val="24"/>
          <w:lang w:eastAsia="hu-HU"/>
        </w:rPr>
        <w:t>III.</w:t>
      </w:r>
    </w:p>
    <w:p w:rsidR="006C3007" w:rsidRPr="00DC6633" w:rsidRDefault="006C3007" w:rsidP="006C3007">
      <w:pPr>
        <w:spacing w:before="100" w:beforeAutospacing="1" w:after="100" w:afterAutospacing="1" w:line="240" w:lineRule="auto"/>
        <w:jc w:val="center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b/>
          <w:bCs/>
          <w:sz w:val="24"/>
          <w:szCs w:val="24"/>
          <w:lang w:eastAsia="hu-HU"/>
        </w:rPr>
        <w:t>Részvétel az egyesület munkájában</w:t>
      </w:r>
    </w:p>
    <w:p w:rsidR="006C3007" w:rsidRPr="00DC6633" w:rsidRDefault="006C3007" w:rsidP="00873788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>A tag nem szolgálhat megtévesztő adatokkal tagsági viszonyát illetően, az ezzel kapcsolatos nyilatkozatot belépésekor, illetve az Elnökség ez</w:t>
      </w:r>
      <w:r w:rsidR="00F51426"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 </w:t>
      </w: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irányú felkérésére köteles a valóságnak megfelelő tartalommal kitölteni. </w:t>
      </w:r>
    </w:p>
    <w:p w:rsidR="00873788" w:rsidRPr="00DC6633" w:rsidRDefault="00873788" w:rsidP="00873788">
      <w:pPr>
        <w:pStyle w:val="Listaszerbekezds"/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</w:p>
    <w:p w:rsidR="00DC26D4" w:rsidRPr="00DC6633" w:rsidRDefault="006C3007" w:rsidP="00DC26D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A </w:t>
      </w:r>
      <w:r w:rsid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rendes </w:t>
      </w: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>tag köteles aktívan részt venni az egyesület tevékenységében, az általa választott szakosztály</w:t>
      </w:r>
      <w:r w:rsidR="00F51426"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 </w:t>
      </w: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(ok) munkájában. </w:t>
      </w:r>
    </w:p>
    <w:p w:rsidR="00DC26D4" w:rsidRPr="00DC6633" w:rsidRDefault="00DC26D4" w:rsidP="00DC26D4">
      <w:pPr>
        <w:pStyle w:val="Listaszerbekezds"/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</w:p>
    <w:p w:rsidR="006C3007" w:rsidRPr="00DC6633" w:rsidRDefault="006C3007" w:rsidP="00DC26D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A </w:t>
      </w:r>
      <w:r w:rsid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rendes </w:t>
      </w: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tag köteles az egyesületen kívül is az egyesület tevékenységét oly módon is népszerűsíteni, hogy az alkalmas legyen a szakma és az egyesületi célkitűzések társadalmi presztízsének emelésére; ennek során új tagokat toborozhat. </w:t>
      </w:r>
    </w:p>
    <w:p w:rsidR="00DC26D4" w:rsidRPr="00DC6633" w:rsidRDefault="00DC26D4" w:rsidP="00DC26D4">
      <w:pPr>
        <w:pStyle w:val="Listaszerbekezds"/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</w:p>
    <w:p w:rsidR="006C3007" w:rsidRPr="00DC6633" w:rsidRDefault="006C3007" w:rsidP="00DC26D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A </w:t>
      </w:r>
      <w:r w:rsid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rendes </w:t>
      </w: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tag lehetőségei szerint köteles részt venni az egyesület által szervezett programokon, kiállításokon, konferenciákon, akciókban. </w:t>
      </w:r>
    </w:p>
    <w:p w:rsidR="00DC26D4" w:rsidRPr="00DC6633" w:rsidRDefault="00DC26D4" w:rsidP="00DC26D4">
      <w:pPr>
        <w:pStyle w:val="Listaszerbekezds"/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</w:p>
    <w:p w:rsidR="006C3007" w:rsidRPr="00DC6633" w:rsidRDefault="006C3007" w:rsidP="00DC26D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A </w:t>
      </w:r>
      <w:r w:rsid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rendes </w:t>
      </w: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tag köteles az egyesület által a nyilvánosság részére szerkesztett kiadványok terjesztésében és népszerűsítésében részt venni. </w:t>
      </w:r>
    </w:p>
    <w:p w:rsidR="00DC26D4" w:rsidRPr="00DC6633" w:rsidRDefault="00DC26D4" w:rsidP="00DC26D4">
      <w:pPr>
        <w:pStyle w:val="Listaszerbekezds"/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</w:p>
    <w:p w:rsidR="006C3007" w:rsidRPr="00DC6633" w:rsidRDefault="006C3007" w:rsidP="00DC26D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A </w:t>
      </w:r>
      <w:r w:rsid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rendes </w:t>
      </w: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tag a tagdíjat a közgyűlés (küldöttgyűlés) által megállapított szabályok alapján pontosan köteles fizetni, a tagdíj besoroláshoz szükséges adatokat az egyesület által elfogadott határozat szerint köteles megadni. </w:t>
      </w:r>
    </w:p>
    <w:p w:rsidR="00DC26D4" w:rsidRPr="00DC6633" w:rsidRDefault="00DC26D4" w:rsidP="00DC26D4">
      <w:pPr>
        <w:pStyle w:val="Listaszerbekezds"/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</w:p>
    <w:p w:rsidR="006C3007" w:rsidRPr="00DC6633" w:rsidRDefault="006C3007" w:rsidP="00DC26D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lastRenderedPageBreak/>
        <w:t xml:space="preserve">A </w:t>
      </w:r>
      <w:r w:rsid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rendes </w:t>
      </w: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tag a tagdíjon túlmenően anyagilag alkalmanként vagy rendszeresen is támogathatja az egyesületet. </w:t>
      </w:r>
    </w:p>
    <w:p w:rsidR="00DC26D4" w:rsidRPr="00DC6633" w:rsidRDefault="00DC26D4" w:rsidP="00DC26D4">
      <w:pPr>
        <w:pStyle w:val="Listaszerbekezds"/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</w:p>
    <w:p w:rsidR="006C3007" w:rsidRPr="00DC6633" w:rsidRDefault="006C3007" w:rsidP="00DC26D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A </w:t>
      </w:r>
      <w:r w:rsid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rendes </w:t>
      </w: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>tag mások érdekeinek sérelme nélkül felhasználhatja egyéb társadalmi kapcsolatait az egyesületi célkitűzések megvalósítása érdekében.</w:t>
      </w:r>
    </w:p>
    <w:p w:rsidR="00DC26D4" w:rsidRPr="00DC6633" w:rsidRDefault="00DC26D4" w:rsidP="00DC26D4">
      <w:pPr>
        <w:pStyle w:val="Listaszerbekezds"/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</w:p>
    <w:p w:rsidR="006C3007" w:rsidRPr="00DC6633" w:rsidRDefault="006C3007" w:rsidP="00DC26D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>A Hírlevelek információit csak saját üzletvitelében hasznosíthatja.</w:t>
      </w:r>
    </w:p>
    <w:p w:rsidR="00DC26D4" w:rsidRPr="00DC6633" w:rsidRDefault="00DC26D4" w:rsidP="00DC26D4">
      <w:pPr>
        <w:pStyle w:val="Listaszerbekezds"/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</w:p>
    <w:p w:rsidR="006C3007" w:rsidRDefault="006C3007" w:rsidP="00DC26D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>A Tagság fejlesztése érdekében a területén, illetve üzleti körében működő vállalkozásokat integrálja az Egyesületbe.</w:t>
      </w:r>
    </w:p>
    <w:p w:rsidR="0065512F" w:rsidRPr="0065512F" w:rsidRDefault="0065512F" w:rsidP="0065512F">
      <w:pPr>
        <w:pStyle w:val="Listaszerbekezds"/>
        <w:rPr>
          <w:rFonts w:ascii="MetaBookCE" w:eastAsia="Times New Roman" w:hAnsi="MetaBookCE" w:cs="Times New Roman"/>
          <w:sz w:val="24"/>
          <w:szCs w:val="24"/>
          <w:lang w:eastAsia="hu-HU"/>
        </w:rPr>
      </w:pPr>
    </w:p>
    <w:p w:rsidR="0065512F" w:rsidRDefault="0065512F" w:rsidP="00DC26D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>
        <w:rPr>
          <w:rFonts w:ascii="MetaBookCE" w:eastAsia="Times New Roman" w:hAnsi="MetaBookCE" w:cs="Times New Roman"/>
          <w:sz w:val="24"/>
          <w:szCs w:val="24"/>
          <w:lang w:eastAsia="hu-HU"/>
        </w:rPr>
        <w:t>Pártoló tag az egyesület tevékenységét köteles oly módon segíteni, hogy az által egyesület elismertsége, szakmai képességének színvonala emelkedjen</w:t>
      </w:r>
    </w:p>
    <w:p w:rsidR="0065512F" w:rsidRPr="0065512F" w:rsidRDefault="0065512F" w:rsidP="0065512F">
      <w:pPr>
        <w:pStyle w:val="Listaszerbekezds"/>
        <w:rPr>
          <w:rFonts w:ascii="MetaBookCE" w:eastAsia="Times New Roman" w:hAnsi="MetaBookCE" w:cs="Times New Roman"/>
          <w:sz w:val="24"/>
          <w:szCs w:val="24"/>
          <w:lang w:eastAsia="hu-HU"/>
        </w:rPr>
      </w:pPr>
    </w:p>
    <w:p w:rsidR="00A37247" w:rsidRDefault="0065512F" w:rsidP="00DC26D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Pártoló tag az egyesület részére nyújtott támogatásának meghatározhatja célját, felhasználási területét </w:t>
      </w:r>
      <w:r w:rsidR="00A37247">
        <w:rPr>
          <w:rFonts w:ascii="MetaBookCE" w:eastAsia="Times New Roman" w:hAnsi="MetaBookCE" w:cs="Times New Roman"/>
          <w:sz w:val="24"/>
          <w:szCs w:val="24"/>
          <w:lang w:eastAsia="hu-HU"/>
        </w:rPr>
        <w:t>működési költségek levonását követően</w:t>
      </w:r>
    </w:p>
    <w:p w:rsidR="00A37247" w:rsidRPr="00A37247" w:rsidRDefault="00A37247" w:rsidP="00A37247">
      <w:pPr>
        <w:pStyle w:val="Listaszerbekezds"/>
        <w:rPr>
          <w:rFonts w:ascii="MetaBookCE" w:eastAsia="Times New Roman" w:hAnsi="MetaBookCE" w:cs="Times New Roman"/>
          <w:sz w:val="24"/>
          <w:szCs w:val="24"/>
          <w:lang w:eastAsia="hu-HU"/>
        </w:rPr>
      </w:pPr>
    </w:p>
    <w:p w:rsidR="0065512F" w:rsidRDefault="00A37247" w:rsidP="00DC26D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>
        <w:rPr>
          <w:rFonts w:ascii="MetaBookCE" w:eastAsia="Times New Roman" w:hAnsi="MetaBookCE" w:cs="Times New Roman"/>
          <w:sz w:val="24"/>
          <w:szCs w:val="24"/>
          <w:lang w:eastAsia="hu-HU"/>
        </w:rPr>
        <w:t>Pártoló tag</w:t>
      </w:r>
      <w:r w:rsidR="0065512F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 felkérheti </w:t>
      </w:r>
      <w:r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az egyesületet </w:t>
      </w:r>
      <w:r w:rsidR="0065512F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széleskörű társadalmi </w:t>
      </w:r>
      <w:r>
        <w:rPr>
          <w:rFonts w:ascii="MetaBookCE" w:eastAsia="Times New Roman" w:hAnsi="MetaBookCE" w:cs="Times New Roman"/>
          <w:sz w:val="24"/>
          <w:szCs w:val="24"/>
          <w:lang w:eastAsia="hu-HU"/>
        </w:rPr>
        <w:t>felelősség vállalási programok kidolgozására</w:t>
      </w:r>
      <w:r w:rsidR="0065512F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 </w:t>
      </w:r>
      <w:r>
        <w:rPr>
          <w:rFonts w:ascii="MetaBookCE" w:eastAsia="Times New Roman" w:hAnsi="MetaBookCE" w:cs="Times New Roman"/>
          <w:sz w:val="24"/>
          <w:szCs w:val="24"/>
          <w:lang w:eastAsia="hu-HU"/>
        </w:rPr>
        <w:t>azoknak megvalósítására</w:t>
      </w:r>
    </w:p>
    <w:p w:rsidR="00A37247" w:rsidRPr="00A37247" w:rsidRDefault="00A37247" w:rsidP="00A37247">
      <w:pPr>
        <w:pStyle w:val="Listaszerbekezds"/>
        <w:rPr>
          <w:rFonts w:ascii="MetaBookCE" w:eastAsia="Times New Roman" w:hAnsi="MetaBookCE" w:cs="Times New Roman"/>
          <w:sz w:val="24"/>
          <w:szCs w:val="24"/>
          <w:lang w:eastAsia="hu-HU"/>
        </w:rPr>
      </w:pPr>
    </w:p>
    <w:p w:rsidR="00A37247" w:rsidRDefault="00A37247" w:rsidP="00DC26D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>
        <w:rPr>
          <w:rFonts w:ascii="MetaBookCE" w:eastAsia="Times New Roman" w:hAnsi="MetaBookCE" w:cs="Times New Roman"/>
          <w:sz w:val="24"/>
          <w:szCs w:val="24"/>
          <w:lang w:eastAsia="hu-HU"/>
        </w:rPr>
        <w:t>Pártoló tag dönthet az egyesület anonim támogatásáról, ebben az esetben az egyesület elnöksége köteles ezt elfogadni és bizalmasan a tagok számára sem ismerten módon kezelni ezt a kapcsolatát szervezetüknek</w:t>
      </w:r>
    </w:p>
    <w:p w:rsidR="00A37247" w:rsidRPr="00A37247" w:rsidRDefault="00A37247" w:rsidP="00A37247">
      <w:pPr>
        <w:pStyle w:val="Listaszerbekezds"/>
        <w:rPr>
          <w:rFonts w:ascii="MetaBookCE" w:eastAsia="Times New Roman" w:hAnsi="MetaBookCE" w:cs="Times New Roman"/>
          <w:sz w:val="24"/>
          <w:szCs w:val="24"/>
          <w:lang w:eastAsia="hu-HU"/>
        </w:rPr>
      </w:pPr>
    </w:p>
    <w:p w:rsidR="00A37247" w:rsidRPr="00DC6633" w:rsidRDefault="00A37247" w:rsidP="00DC26D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>
        <w:rPr>
          <w:rFonts w:ascii="MetaBookCE" w:eastAsia="Times New Roman" w:hAnsi="MetaBookCE" w:cs="Times New Roman"/>
          <w:sz w:val="24"/>
          <w:szCs w:val="24"/>
          <w:lang w:eastAsia="hu-HU"/>
        </w:rPr>
        <w:t>Tiszteletbeli tag, személyével és társadalmi elismertségével segíti az egyesület munkáját</w:t>
      </w:r>
    </w:p>
    <w:p w:rsidR="00E2551C" w:rsidRPr="00DC6633" w:rsidRDefault="006C3007" w:rsidP="00E2551C">
      <w:pPr>
        <w:spacing w:before="100" w:beforeAutospacing="1" w:after="100" w:afterAutospacing="1" w:line="240" w:lineRule="auto"/>
        <w:jc w:val="center"/>
        <w:rPr>
          <w:rFonts w:ascii="MetaBookCE" w:eastAsia="Times New Roman" w:hAnsi="MetaBookCE" w:cs="Times New Roman"/>
          <w:b/>
          <w:bCs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b/>
          <w:bCs/>
          <w:sz w:val="24"/>
          <w:szCs w:val="24"/>
          <w:lang w:eastAsia="hu-HU"/>
        </w:rPr>
        <w:t>IV.</w:t>
      </w:r>
      <w:r w:rsidR="00E2551C" w:rsidRPr="00DC6633">
        <w:rPr>
          <w:rFonts w:ascii="MetaBookCE" w:eastAsia="Times New Roman" w:hAnsi="MetaBookCE" w:cs="Times New Roman"/>
          <w:b/>
          <w:bCs/>
          <w:sz w:val="24"/>
          <w:szCs w:val="24"/>
          <w:lang w:eastAsia="hu-HU"/>
        </w:rPr>
        <w:t xml:space="preserve"> </w:t>
      </w:r>
    </w:p>
    <w:p w:rsidR="00E2551C" w:rsidRPr="00DC6633" w:rsidRDefault="00E2551C" w:rsidP="00E2551C">
      <w:pPr>
        <w:spacing w:before="100" w:beforeAutospacing="1" w:after="100" w:afterAutospacing="1" w:line="240" w:lineRule="auto"/>
        <w:jc w:val="center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b/>
          <w:bCs/>
          <w:sz w:val="24"/>
          <w:szCs w:val="24"/>
          <w:lang w:eastAsia="hu-HU"/>
        </w:rPr>
        <w:t>Gazdálkodó szervezetek külön kötelezettségei</w:t>
      </w:r>
    </w:p>
    <w:p w:rsidR="00E2551C" w:rsidRPr="00DC6633" w:rsidRDefault="00E2551C" w:rsidP="00E2551C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>Gazdasági tevékenységét a jogszabályban előírt feltételek betartása mellett gyakorolja.</w:t>
      </w:r>
    </w:p>
    <w:p w:rsidR="00E2551C" w:rsidRPr="00DC6633" w:rsidRDefault="00E2551C" w:rsidP="00E2551C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>Költségvetéssel, egyéb hatóságokkal szembeni fizetési kötelezettségének határidőben eleget tesz.</w:t>
      </w:r>
    </w:p>
    <w:p w:rsidR="00E2551C" w:rsidRPr="00DC6633" w:rsidRDefault="00E2551C" w:rsidP="00E2551C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>Nem vásárol gyanús eredetű anyagot.</w:t>
      </w:r>
    </w:p>
    <w:p w:rsidR="00E2551C" w:rsidRPr="00DC6633" w:rsidRDefault="00E2551C" w:rsidP="00E2551C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>Minőségbiztosításra törekszik (ISO 9002 és ISO 14000).</w:t>
      </w:r>
    </w:p>
    <w:p w:rsidR="00E2551C" w:rsidRPr="00DC6633" w:rsidRDefault="00E2551C" w:rsidP="00E2551C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>Képviseleti joggal rendelkező személyeket jelöl ki az Egyesület szerveiben való részvételre.</w:t>
      </w:r>
    </w:p>
    <w:p w:rsidR="00E2551C" w:rsidRPr="00DC6633" w:rsidRDefault="00E2551C" w:rsidP="00E2551C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>Levélpapírján, cégtáblán egyéb kommunikációs eszközön használja a MEHKE emblémáját.</w:t>
      </w:r>
    </w:p>
    <w:p w:rsidR="00E2551C" w:rsidRPr="00DC6633" w:rsidRDefault="00E2551C" w:rsidP="006C3007">
      <w:pPr>
        <w:spacing w:before="100" w:beforeAutospacing="1" w:after="100" w:afterAutospacing="1" w:line="240" w:lineRule="auto"/>
        <w:jc w:val="center"/>
        <w:rPr>
          <w:rFonts w:ascii="MetaBookCE" w:eastAsia="Times New Roman" w:hAnsi="MetaBookCE" w:cs="Times New Roman"/>
          <w:b/>
          <w:bCs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b/>
          <w:bCs/>
          <w:sz w:val="24"/>
          <w:szCs w:val="24"/>
          <w:lang w:eastAsia="hu-HU"/>
        </w:rPr>
        <w:lastRenderedPageBreak/>
        <w:t>V.</w:t>
      </w:r>
    </w:p>
    <w:p w:rsidR="00E2551C" w:rsidRPr="00DC6633" w:rsidRDefault="00E2551C" w:rsidP="006C3007">
      <w:pPr>
        <w:spacing w:before="100" w:beforeAutospacing="1" w:after="100" w:afterAutospacing="1" w:line="240" w:lineRule="auto"/>
        <w:jc w:val="center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b/>
          <w:bCs/>
          <w:sz w:val="24"/>
          <w:szCs w:val="24"/>
          <w:lang w:eastAsia="hu-HU"/>
        </w:rPr>
        <w:t>Az Egyesület támogatása tagjai tevékenységének</w:t>
      </w:r>
    </w:p>
    <w:p w:rsidR="00E2551C" w:rsidRPr="00DC6633" w:rsidRDefault="00E2551C" w:rsidP="00E2551C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>Egyes tag gazdasági tevékenységének segítését az egyesület más tagok</w:t>
      </w:r>
      <w:r w:rsidR="00C863ED"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>, nem tagok</w:t>
      </w: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 részére történő kiajánlásával</w:t>
      </w:r>
      <w:r w:rsidR="00C863ED"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 valósítja meg</w:t>
      </w: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 </w:t>
      </w:r>
    </w:p>
    <w:p w:rsidR="00E2551C" w:rsidRPr="00DC6633" w:rsidRDefault="00C863ED" w:rsidP="00E2551C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>Az egyesület lehetőséget teremt a tagok megoldási javaslatok kidolgozására való felkérésen keresztül, hogy egyes tagok tevékenységével megegyező területen új szolgáltatást, tevékenységet tudjon létesíteni</w:t>
      </w:r>
    </w:p>
    <w:p w:rsidR="00C863ED" w:rsidRPr="00DC6633" w:rsidRDefault="00C863ED" w:rsidP="00E2551C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Az egyesület előnyben részesíti azon tagot, aki egy-egy új területen az egyesület tevékenységét segítő megoldást, tevékenységet kiszolgáló rendszert dolgoz ki, és abban </w:t>
      </w:r>
      <w:r w:rsidR="00A37247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ezáltal </w:t>
      </w: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>egyedülállóvá válik</w:t>
      </w:r>
    </w:p>
    <w:p w:rsidR="00C863ED" w:rsidRPr="00DC6633" w:rsidRDefault="00C863ED" w:rsidP="00E2551C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Az egyesület nem tesz tag és tag között különbséget, ezzel szemben segíti a felek egymás tevékenységeinek, szolgáltatásaink </w:t>
      </w:r>
      <w:r w:rsid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együttes </w:t>
      </w: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>elterjesztésében amennyiben a tagok képesek egymással és/vagy egymást kiegészítve összedolgozni a kitűzött cél elérésének érdekében</w:t>
      </w:r>
    </w:p>
    <w:p w:rsidR="00E2551C" w:rsidRPr="00DC6633" w:rsidRDefault="00C863ED" w:rsidP="00E2551C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Az egyesület elnöksége dönthet mely taggal folytat egyeztetéseket az egyesület tevékenységének kiszolgálására, ellátására vonatkozóan, de és amennyiben egy másik tag szintén képes ellátni azon tevékenységet és még nem kötettett meg a felek közötti megállapodás, akkor </w:t>
      </w:r>
      <w:r w:rsidR="00DC6633" w:rsidRPr="00DC6633">
        <w:rPr>
          <w:rFonts w:ascii="MetaBookCE" w:eastAsia="Times New Roman" w:hAnsi="MetaBookCE" w:cs="Times New Roman"/>
          <w:sz w:val="24"/>
          <w:szCs w:val="24"/>
          <w:lang w:eastAsia="hu-HU"/>
        </w:rPr>
        <w:t>az elnökség köteles meghallgatni a másik tag ajánlatát is</w:t>
      </w:r>
    </w:p>
    <w:p w:rsidR="00E2551C" w:rsidRDefault="0065512F" w:rsidP="00E2551C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r>
        <w:rPr>
          <w:rFonts w:ascii="MetaBookCE" w:eastAsia="Times New Roman" w:hAnsi="MetaBookCE" w:cs="Times New Roman"/>
          <w:sz w:val="24"/>
          <w:szCs w:val="24"/>
          <w:lang w:eastAsia="hu-HU"/>
        </w:rPr>
        <w:t>Az egyesület köteles segíteni, előnyben részesíteni azon tagot, aki az egyesület előre menetelét oly módon segíti, hogy</w:t>
      </w:r>
      <w:r w:rsidR="00A37247"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 a tag</w:t>
      </w:r>
      <w:r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 </w:t>
      </w:r>
      <w:r w:rsidR="00A37247">
        <w:rPr>
          <w:rFonts w:ascii="MetaBookCE" w:eastAsia="Times New Roman" w:hAnsi="MetaBookCE" w:cs="Times New Roman"/>
          <w:sz w:val="24"/>
          <w:szCs w:val="24"/>
          <w:lang w:eastAsia="hu-HU"/>
        </w:rPr>
        <w:t>saját tevékenységének végzése során</w:t>
      </w:r>
      <w:r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 az egyesület céljait elérendő t</w:t>
      </w:r>
      <w:r w:rsidR="00A37247">
        <w:rPr>
          <w:rFonts w:ascii="MetaBookCE" w:eastAsia="Times New Roman" w:hAnsi="MetaBookCE" w:cs="Times New Roman"/>
          <w:sz w:val="24"/>
          <w:szCs w:val="24"/>
          <w:lang w:eastAsia="hu-HU"/>
        </w:rPr>
        <w:t>erületekre megoldási javaslatot</w:t>
      </w:r>
      <w:r>
        <w:rPr>
          <w:rFonts w:ascii="MetaBookCE" w:eastAsia="Times New Roman" w:hAnsi="MetaBookCE" w:cs="Times New Roman"/>
          <w:sz w:val="24"/>
          <w:szCs w:val="24"/>
          <w:lang w:eastAsia="hu-HU"/>
        </w:rPr>
        <w:t xml:space="preserve">, megvalósítást lehetővé tevő </w:t>
      </w:r>
      <w:r w:rsidR="00A37247">
        <w:rPr>
          <w:rFonts w:ascii="MetaBookCE" w:eastAsia="Times New Roman" w:hAnsi="MetaBookCE" w:cs="Times New Roman"/>
          <w:sz w:val="24"/>
          <w:szCs w:val="24"/>
          <w:lang w:eastAsia="hu-HU"/>
        </w:rPr>
        <w:t>konstrukciót készít, térítésmentesen ad át az egyesület részére</w:t>
      </w:r>
    </w:p>
    <w:p w:rsidR="00A37247" w:rsidRPr="00DC6633" w:rsidRDefault="00A37247" w:rsidP="00A37247">
      <w:pPr>
        <w:pStyle w:val="Listaszerbekezds"/>
        <w:spacing w:before="100" w:beforeAutospacing="1" w:after="100" w:afterAutospacing="1" w:line="360" w:lineRule="auto"/>
        <w:ind w:left="714"/>
        <w:jc w:val="both"/>
        <w:rPr>
          <w:rFonts w:ascii="MetaBookCE" w:eastAsia="Times New Roman" w:hAnsi="MetaBookCE" w:cs="Times New Roman"/>
          <w:sz w:val="24"/>
          <w:szCs w:val="24"/>
          <w:lang w:eastAsia="hu-HU"/>
        </w:rPr>
      </w:pPr>
      <w:bookmarkStart w:id="0" w:name="_GoBack"/>
      <w:bookmarkEnd w:id="0"/>
    </w:p>
    <w:sectPr w:rsidR="00A37247" w:rsidRPr="00DC6633" w:rsidSect="00DC66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BookCE">
    <w:panose1 w:val="00000000000000000000"/>
    <w:charset w:val="00"/>
    <w:family w:val="modern"/>
    <w:notTrueType/>
    <w:pitch w:val="variable"/>
    <w:sig w:usb0="800000A7" w:usb1="00002048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09C1"/>
    <w:multiLevelType w:val="hybridMultilevel"/>
    <w:tmpl w:val="C3F661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0964"/>
    <w:rsid w:val="001F7D76"/>
    <w:rsid w:val="005B3E82"/>
    <w:rsid w:val="0065512F"/>
    <w:rsid w:val="006C3007"/>
    <w:rsid w:val="00873788"/>
    <w:rsid w:val="00A37247"/>
    <w:rsid w:val="00C863ED"/>
    <w:rsid w:val="00DC26D4"/>
    <w:rsid w:val="00DC6633"/>
    <w:rsid w:val="00E10964"/>
    <w:rsid w:val="00E2551C"/>
    <w:rsid w:val="00F5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D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6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C300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C3007"/>
    <w:rPr>
      <w:b/>
      <w:bCs/>
    </w:rPr>
  </w:style>
  <w:style w:type="character" w:styleId="Kiemels">
    <w:name w:val="Emphasis"/>
    <w:basedOn w:val="Bekezdsalapbettpusa"/>
    <w:uiPriority w:val="20"/>
    <w:qFormat/>
    <w:rsid w:val="006C3007"/>
    <w:rPr>
      <w:i/>
      <w:iCs/>
    </w:rPr>
  </w:style>
  <w:style w:type="paragraph" w:styleId="Listaszerbekezds">
    <w:name w:val="List Paragraph"/>
    <w:basedOn w:val="Norml"/>
    <w:uiPriority w:val="34"/>
    <w:qFormat/>
    <w:rsid w:val="00873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432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8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1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1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3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2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C162-ACB9-4A7B-86CA-F7D22597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930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 Select pc</dc:creator>
  <cp:keywords/>
  <dc:description/>
  <cp:lastModifiedBy>MÉHKE</cp:lastModifiedBy>
  <cp:revision>6</cp:revision>
  <dcterms:created xsi:type="dcterms:W3CDTF">2010-03-14T12:14:00Z</dcterms:created>
  <dcterms:modified xsi:type="dcterms:W3CDTF">2013-06-28T08:12:00Z</dcterms:modified>
</cp:coreProperties>
</file>